
<file path=[Content_Types].xml><?xml version="1.0" encoding="utf-8"?>
<Types xmlns="http://schemas.openxmlformats.org/package/2006/content-types">
  <Default Extension="rels" ContentType="application/vnd.openxmlformats-package.relationships+xml"/>
  <Default Extension="xml" ContentType="application/xml"/>
  <Default Extension="docx" ContentType="application/vnd.openxmlformats-officedocument.wordprocessingml.document.mai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B3CAF" w:rsidR="00A24FFC" w:rsidP="00FB3CAF" w:rsidRDefault="00E87601" w14:paraId="6C6EB4F3" w14:textId="77777777">
      <w:pPr>
        <w:pStyle w:val="1"/>
        <w:spacing w:line="360" w:lineRule="exact"/>
        <w:rPr>
          <w:rFonts w:ascii="新細明體" w:hAnsi="新細明體" w:eastAsia="新細明體" w:cs="新細明體"/>
          <w:color w:val="000000"/>
        </w:rPr>
      </w:pPr>
      <w:bookmarkStart w:name="Std_Type2" w:id="0"/>
      <w:r w:rsidRPr="00F6439B">
        <w:rPr>
          <w:rFonts w:hint="eastAsia" w:ascii="新細明體" w:hAnsi="新細明體" w:eastAsia="新細明體" w:cs="新細明體"/>
          <w:color w:val="000000"/>
        </w:rPr>
        <w:t>證券商內部控制制度標準規範</w:t>
      </w:r>
      <w:bookmarkEnd w:id="0"/>
      <w:proofErr w:type="gramStart"/>
      <w:r w:rsidRPr="00F6439B">
        <w:rPr>
          <w:rFonts w:hint="eastAsia" w:ascii="新細明體" w:hAnsi="新細明體" w:eastAsia="新細明體" w:cs="新細明體"/>
          <w:color w:val="000000"/>
        </w:rPr>
        <w:t>─</w:t>
      </w:r>
      <w:proofErr w:type="gramEnd"/>
      <w:r w:rsidRPr="00F6439B">
        <w:rPr>
          <w:rFonts w:hint="eastAsia" w:ascii="新細明體" w:hAnsi="新細明體" w:eastAsia="新細明體" w:cs="新細明體"/>
          <w:color w:val="000000"/>
        </w:rPr>
        <w:t>內部控制制度修</w:t>
      </w:r>
      <w:r w:rsidRPr="00F6439B" w:rsidR="00D25C08">
        <w:rPr>
          <w:rFonts w:hint="eastAsia" w:ascii="新細明體" w:hAnsi="新細明體" w:eastAsia="新細明體" w:cs="新細明體"/>
          <w:color w:val="000000"/>
        </w:rPr>
        <w:t>正</w:t>
      </w:r>
      <w:r w:rsidRPr="00F6439B">
        <w:rPr>
          <w:rFonts w:hint="eastAsia" w:ascii="新細明體" w:hAnsi="新細明體" w:eastAsia="新細明體" w:cs="新細明體"/>
          <w:color w:val="000000"/>
        </w:rPr>
        <w:t>對照表</w:t>
      </w:r>
      <w:bookmarkStart w:name="Article_Eff_Date" w:id="1"/>
      <w:r w:rsidRPr="0031289E" w:rsidR="0031289E">
        <w:rPr>
          <w:rFonts w:hint="eastAsia" w:ascii="新細明體" w:hAnsi="新細明體" w:eastAsia="新細明體" w:cs="新細明體"/>
          <w:color w:val="000000"/>
        </w:rPr>
        <w:t>草案</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4"/>
        <w:gridCol w:w="1276"/>
        <w:gridCol w:w="5386"/>
        <w:gridCol w:w="5387"/>
        <w:gridCol w:w="2023"/>
      </w:tblGrid>
      <w:tr w:rsidRPr="00F6439B" w:rsidR="001E533B" w:rsidTr="004A29F0" w14:paraId="5B8288D9" w14:textId="77777777">
        <w:trPr>
          <w:tblHeader/>
        </w:trPr>
        <w:tc>
          <w:tcPr>
            <w:tcW w:w="1384" w:type="dxa"/>
            <w:tcBorders>
              <w:top w:val="single" w:color="auto" w:sz="12" w:space="0"/>
              <w:left w:val="single" w:color="auto" w:sz="12" w:space="0"/>
              <w:bottom w:val="single" w:color="auto" w:sz="12" w:space="0"/>
            </w:tcBorders>
            <w:shd w:val="clear" w:color="auto" w:fill="auto"/>
          </w:tcPr>
          <w:p w:rsidRPr="00F6439B" w:rsidR="001E533B" w:rsidP="00F6439B" w:rsidRDefault="00FB3CAF" w14:paraId="6E20BAD9" w14:textId="77777777">
            <w:pPr>
              <w:jc w:val="center"/>
              <w:rPr>
                <w:rFonts w:ascii="新細明體" w:hAnsi="新細明體" w:eastAsia="新細明體"/>
              </w:rPr>
            </w:pPr>
            <w:r w:rsidRPr="00F6439B">
              <w:rPr>
                <w:rFonts w:hint="eastAsia" w:ascii="新細明體" w:hAnsi="新細明體" w:eastAsia="新細明體"/>
              </w:rPr>
              <w:t>編號</w:t>
            </w:r>
          </w:p>
        </w:tc>
        <w:tc>
          <w:tcPr>
            <w:tcW w:w="1276" w:type="dxa"/>
            <w:tcBorders>
              <w:top w:val="single" w:color="auto" w:sz="12" w:space="0"/>
              <w:bottom w:val="single" w:color="auto" w:sz="12" w:space="0"/>
            </w:tcBorders>
            <w:shd w:val="clear" w:color="auto" w:fill="auto"/>
          </w:tcPr>
          <w:p w:rsidRPr="00F6439B" w:rsidR="00A24FFC" w:rsidP="001E533B" w:rsidRDefault="001E533B" w14:paraId="78ACF850" w14:textId="77777777">
            <w:pPr>
              <w:rPr>
                <w:rFonts w:ascii="新細明體" w:hAnsi="新細明體" w:eastAsia="新細明體"/>
              </w:rPr>
            </w:pPr>
            <w:r w:rsidRPr="00F6439B">
              <w:rPr>
                <w:rFonts w:hint="eastAsia" w:ascii="新細明體" w:hAnsi="新細明體" w:eastAsia="新細明體"/>
              </w:rPr>
              <w:t>作業項目</w:t>
            </w:r>
          </w:p>
        </w:tc>
        <w:tc>
          <w:tcPr>
            <w:tcW w:w="5386" w:type="dxa"/>
            <w:tcBorders>
              <w:top w:val="single" w:color="auto" w:sz="12" w:space="0"/>
              <w:bottom w:val="single" w:color="auto" w:sz="12" w:space="0"/>
            </w:tcBorders>
            <w:shd w:val="clear" w:color="auto" w:fill="auto"/>
          </w:tcPr>
          <w:p w:rsidRPr="00F6439B" w:rsidR="00A24FFC" w:rsidP="00F6439B" w:rsidRDefault="001E533B" w14:paraId="1EBEFB0B" w14:textId="77777777">
            <w:pPr>
              <w:jc w:val="center"/>
              <w:rPr>
                <w:rFonts w:ascii="新細明體" w:hAnsi="新細明體" w:eastAsia="新細明體"/>
              </w:rPr>
            </w:pPr>
            <w:r w:rsidRPr="00F6439B">
              <w:rPr>
                <w:rFonts w:hint="eastAsia" w:ascii="新細明體" w:hAnsi="新細明體" w:eastAsia="新細明體" w:cs="新細明體"/>
                <w:color w:val="000000"/>
              </w:rPr>
              <w:t>修正後內容</w:t>
            </w:r>
          </w:p>
        </w:tc>
        <w:tc>
          <w:tcPr>
            <w:tcW w:w="5387" w:type="dxa"/>
            <w:tcBorders>
              <w:top w:val="single" w:color="auto" w:sz="12" w:space="0"/>
              <w:bottom w:val="single" w:color="auto" w:sz="12" w:space="0"/>
            </w:tcBorders>
            <w:shd w:val="clear" w:color="auto" w:fill="auto"/>
          </w:tcPr>
          <w:p w:rsidRPr="00F6439B" w:rsidR="00A24FFC" w:rsidP="00F6439B" w:rsidRDefault="001E533B" w14:paraId="1FB190B7" w14:textId="77777777">
            <w:pPr>
              <w:jc w:val="center"/>
              <w:rPr>
                <w:rFonts w:ascii="新細明體" w:hAnsi="新細明體" w:eastAsia="新細明體"/>
              </w:rPr>
            </w:pPr>
            <w:r w:rsidRPr="00F6439B">
              <w:rPr>
                <w:rFonts w:hint="eastAsia" w:ascii="新細明體" w:hAnsi="新細明體" w:eastAsia="新細明體" w:cs="新細明體"/>
                <w:color w:val="000000"/>
              </w:rPr>
              <w:t>修正前內容</w:t>
            </w:r>
          </w:p>
        </w:tc>
        <w:tc>
          <w:tcPr>
            <w:tcW w:w="2023" w:type="dxa"/>
            <w:tcBorders>
              <w:top w:val="single" w:color="auto" w:sz="12" w:space="0"/>
              <w:bottom w:val="single" w:color="auto" w:sz="12" w:space="0"/>
              <w:right w:val="single" w:color="auto" w:sz="12" w:space="0"/>
            </w:tcBorders>
            <w:shd w:val="clear" w:color="auto" w:fill="auto"/>
          </w:tcPr>
          <w:p w:rsidRPr="00F6439B" w:rsidR="00A24FFC" w:rsidP="00F6439B" w:rsidRDefault="00C904D3" w14:paraId="7A098D66" w14:textId="77777777">
            <w:pPr>
              <w:jc w:val="center"/>
              <w:rPr>
                <w:rFonts w:ascii="新細明體" w:hAnsi="新細明體" w:eastAsia="新細明體"/>
              </w:rPr>
            </w:pPr>
            <w:r w:rsidRPr="00F6439B">
              <w:rPr>
                <w:rFonts w:hint="eastAsia" w:ascii="新細明體" w:hAnsi="新細明體" w:eastAsia="新細明體" w:cs="新細明體"/>
                <w:color w:val="000000"/>
              </w:rPr>
              <w:t>修正說明</w:t>
            </w:r>
          </w:p>
        </w:tc>
      </w:tr>
      <w:tr w:rsidRPr="00F6439B" w:rsidR="003B3105" w14:paraId="6F801B14" w14:textId="77777777">
        <w:tc>
          <w:tcPr>
            <w:tcW w:w="1384" w:type="dxa"/>
            <w:vMerge w:val="restart"/>
            <w:tcBorders>
              <w:top w:val="single" w:color="auto" w:sz="12" w:space="0"/>
              <w:left w:val="single" w:color="auto" w:sz="12" w:space="0"/>
            </w:tcBorders>
            <w:shd w:val="clear" w:color="auto" w:fill="auto"/>
          </w:tcPr>
          <w:p w:rsidRPr="00F6439B" w:rsidR="003B3105" w:rsidP="001E533B" w:rsidRDefault="003B3105" w14:paraId="39C8E458" w14:textId="3C93645F">
            <w:pPr>
              <w:rPr>
                <w:rFonts w:ascii="新細明體" w:hAnsi="新細明體" w:eastAsia="新細明體"/>
              </w:rPr>
            </w:pPr>
            <w:r>
              <w:rPr>
                <w:rFonts w:hint="eastAsia" w:ascii="新細明體" w:hAnsi="新細明體" w:eastAsia="新細明體"/>
              </w:rPr>
              <w:t>CA-19H00</w:t>
            </w:r>
          </w:p>
        </w:tc>
        <w:tc>
          <w:tcPr>
            <w:tcW w:w="1276" w:type="dxa"/>
            <w:vMerge w:val="restart"/>
            <w:tcBorders>
              <w:top w:val="single" w:color="auto" w:sz="12" w:space="0"/>
            </w:tcBorders>
            <w:shd w:val="clear" w:color="auto" w:fill="auto"/>
          </w:tcPr>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證券商受託管理私募股權基金及引介專業投資機構參與投資所管理私募股權基金業務</w:t>
            </w:r>
          </w:p>
        </w:tc>
        <w:tc>
          <w:tcPr>
            <w:tcW w:w="5386" w:type="dxa"/>
            <w:tcBorders>
              <w:top w:val="single" w:color="auto" w:sz="12" w:space="0"/>
              <w:bottom w:val="nil"/>
            </w:tcBorders>
            <w:shd w:val="clear" w:color="auto" w:fill="auto"/>
          </w:tcPr>
          <w:p w:rsidRPr="003B3105" w:rsidR="003B3105" w:rsidP="003B3105" w:rsidRDefault="003B3105" w14:paraId="1A6552A0"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5387" w:type="dxa"/>
            <w:tcBorders>
              <w:top w:val="single" w:color="auto" w:sz="12" w:space="0"/>
              <w:bottom w:val="nil"/>
            </w:tcBorders>
            <w:shd w:val="clear" w:color="auto" w:fill="auto"/>
          </w:tcPr>
          <w:p w:rsidRPr="003B3105" w:rsidR="003B3105" w:rsidP="003B3105" w:rsidRDefault="003B3105" w14:paraId="3C1F8D55"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2023" w:type="dxa"/>
            <w:vMerge w:val="restart"/>
            <w:tcBorders>
              <w:top w:val="single" w:color="auto" w:sz="12" w:space="0"/>
              <w:right w:val="single" w:color="auto" w:sz="12" w:space="0"/>
            </w:tcBorders>
            <w:shd w:val="clear" w:color="auto" w:fill="auto"/>
          </w:tcPr>
          <w:p w:rsidRPr="00F6439B" w:rsidR="003B3105" w:rsidP="003B3105" w:rsidRDefault="003B3105" w14:paraId="217DBB1D" w14:textId="77777777">
            <w:pPr>
              <w:spacing w:line="360" w:lineRule="exact"/>
              <w:ind w:left="28" w:right="28"/>
              <w:rPr>
                <w:rFonts w:ascii="新細明體" w:hAnsi="新細明體" w:eastAsia="新細明體"/>
              </w:rPr>
            </w:pPr>
            <w:r>
              <w:rPr>
                <w:rFonts w:hint="eastAsia" w:ascii="新細明體" w:hAnsi="新細明體" w:eastAsia="新細明體" w:cs="Times New Roman"/>
                <w:color w:val="FF0000"/>
                <w:spacing w:val="20"/>
                <w:szCs w:val="20"/>
                <w:u w:val="single"/>
              </w:rPr>
              <w:t>配合主管機關函令修正，擴大證券商辦理私募股權基金引介業務之服務對象及可引介基金範圍，並增訂得透過信託業以金錢信託方式引介投資人參與投資之相關規範，爰予修正。</w:t>
            </w: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公司辦理受託管理私募股權基金業務不得涉及經營證券投資信託業務，並應符合下列規定：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公司辦理受託管理私募股權基金業務不得涉及經營證券投資信託業務，並應符合下列規定：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公司應設置專責部門，並配置適足、適任之人員：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公司應設置專責部門，並配置適足、適任之人員：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於執行職務前，應向券商公會辦理登記，非經登記，不得執行業務。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於執行職務前，應向券商公會辦理登記，非經登記，不得執行業務。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專責部門人員有異動者，應於異動次日起五個營業日內，向券商公會申報登記。</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專責部門人員有異動者，應於異動次日起五個營業日內，向券商公會申報登記。</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不得辦理專責部門以外之業務，或由非登記專責部門之人員兼辦。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不得辦理專責部門以外之業務，或由非登記專責部門之人員兼辦。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公司受託管理私募股權基金除適用證券商負責人與業務人員管理規則第十一條之一規定之限制外，負責人或受僱人亦不得擔任該私募股權基金所投資事業之經理人。</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公司受託管理私募股權基金除適用證券商負責人與業務人員管理規則第十一條之一規定之限制外，負責人或受僱人亦不得擔任該私募股權基金所投資事業之經理人。</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派任專責部門人員至所管理之私募股權基金或該基金投資標的事業等相關機構兼任職務，應向券商公會登記建檔；如不再兼任，應於事實發生日次日起五個營業日內向券商公會辦理註銷。</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派任專責部門人員至所管理之私募股權基金或該基金投資標的事業等相關機構兼任職務，應向券商公會登記建檔；如不再兼任，應於事實發生日次日起五個營業日內向券商公會辦理註銷。</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公司應建立內部審核控管機制，以確保人員本職及兼任職務之有效執行，並維持公司業務之正常運作，不得涉有利益衝突、違反證券相關規定或內部控制制度之情事，且應確保客戶及股東權益。</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公司應建立內部審核控管機制，以確保人員本職及兼任職務之有效執行，並維持公司業務之正常運作，不得涉有利益衝突、違反證券相關規定或內部控制制度之情事，且應確保客戶及股東權益。</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公司應就辦理上開業務之經營原則、作業手續、權責劃分、防制洗錢及打擊資恐作業、業務紛爭處理、人員教育訓練及管理、與既有業務之區隔及利益衝突防範等事項，訂定完善之內部控制制度與風險控制及管理機制(請公司自訂)，並確實執行。</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公司應就辦理上開業務之經營原則、作業手續、權責劃分、防制洗錢及打擊資恐作業、業務紛爭處理、人員教育訓練及管理、與既有業務之區隔及利益衝突防範等事項，訂定完善之內部控制制度與風險控制及管理機制(請公司自訂)，並確實執行。</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公司受託管理私募股權基金，投資於集中交易市場或證券商營業處所之有價證券，應委託其他證券經紀商為之。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公司受託管理私募股權基金，投資於集中交易市場或證券商營業處所之有價證券，應委託其他證券經紀商為之。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公司受託管理私募股權基金，不得與所經理之全權委託投資帳戶、自有資金帳戶、財富管理信託財產帳戶及自行買賣有價證券帳戶間，為證券或證券相關商品交易行為。但經由集中交易市場或證券商營業處所委託買賣成交，且非故意發生相對交易之結果者，不在此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公司受託管理私募股權基金，不得與所經理之全權委託投資帳戶、自有資金帳戶、財富管理信託財產帳戶及自行買賣有價證券帳戶間，為證券或證券相關商品交易行為。但經由集中交易市場或證券商營業處所委託買賣成交，且非故意發生相對交易之結果者，不在此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公司受託管理私募股權基金，投資標的事業與公司有利害關係者，應事先經客戶書面同意或於受託管理契約中特別約定。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公司受託管理私募股權基金，投資標的事業與公司有利害關係者，應事先經客戶書面同意或於受託管理契約中特別約定。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公司得接受私募股權基金相關機構委任，就</w:t>
            </w:r>
            <w:r>
              <w:rPr>
                <w:rFonts w:hint="eastAsia" w:ascii="新細明體" w:hAnsi="新細明體" w:eastAsia="新細明體" w:cs="新細明體"/>
                <w:b/>
                <w:u w:val="single"/>
                <w:color w:val="FF0000 "/>
              </w:rPr>
              <w:t>公司子公司擔任普通合夥人之私募股權基金及</w:t>
            </w:r>
            <w:r>
              <w:rPr>
                <w:rFonts w:hint="eastAsia" w:ascii="新細明體" w:hAnsi="新細明體" w:eastAsia="新細明體" w:cs="新細明體"/>
              </w:rPr>
              <w:t>受託管理之私募股權基金引介專業投資機構</w:t>
            </w:r>
            <w:r>
              <w:rPr>
                <w:rFonts w:hint="eastAsia" w:ascii="新細明體" w:hAnsi="新細明體" w:eastAsia="新細明體" w:cs="新細明體"/>
                <w:b/>
                <w:u w:val="single"/>
                <w:color w:val="FF0000 "/>
              </w:rPr>
              <w:t>及高資產客戶</w:t>
            </w:r>
            <w:r>
              <w:rPr>
                <w:rFonts w:hint="eastAsia" w:ascii="新細明體" w:hAnsi="新細明體" w:eastAsia="新細明體" w:cs="新細明體"/>
              </w:rPr>
              <w:t>參與投資及提供相關服務，並應符合下列規定：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公司得接受私募股權基金相關機構委任，就受託管理之私募股權基金引介</w:t>
            </w:r>
            <w:r>
              <w:rPr>
                <w:rFonts w:hint="eastAsia" w:ascii="新細明體" w:hAnsi="新細明體" w:eastAsia="新細明體" w:cs="新細明體"/>
                <w:b/>
                <w:color w:val="FF0000 "/>
              </w:rPr>
              <w:t>符合金融消費者保護法第四條規定之</w:t>
            </w:r>
            <w:r>
              <w:rPr>
                <w:rFonts w:hint="eastAsia" w:ascii="新細明體" w:hAnsi="新細明體" w:eastAsia="新細明體" w:cs="新細明體"/>
              </w:rPr>
              <w:t>專業投資機構參與投資及提供相關服務，並應符合下列規定：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應就辦理上開業務之充分瞭解商品、充分瞭解客戶、防制洗錢及打擊資恐作業、糾紛處理、與既有業務之區隔及利益衝突防範等事項，訂定完善之內部控制制度與風險控制及管理機制(請公司自訂)，並確實執行。</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應就辦理上開業務之充分瞭解商品、充分瞭解客戶、防制洗錢及打擊資恐作業、糾紛處理、與既有業務之區隔及利益衝突防範等事項，訂定完善之內部控制制度與風險控制及管理機制(請公司自訂)，並確實執行。</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引介專業投資機構</w:t>
            </w:r>
            <w:r>
              <w:rPr>
                <w:rFonts w:hint="eastAsia" w:ascii="新細明體" w:hAnsi="新細明體" w:eastAsia="新細明體" w:cs="新細明體"/>
                <w:b/>
                <w:u w:val="single"/>
                <w:color w:val="FF0000 "/>
              </w:rPr>
              <w:t>及高資產客戶</w:t>
            </w:r>
            <w:r>
              <w:rPr>
                <w:rFonts w:hint="eastAsia" w:ascii="新細明體" w:hAnsi="新細明體" w:eastAsia="新細明體" w:cs="新細明體"/>
              </w:rPr>
              <w:t>參與投資私募股權基金及提供相關服務，不得為一般性廣告或公開勸誘之行為。</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引介專業投資機構參與投資私募股權基金及提供相關服務，不得為一般性廣告或公開勸誘之行為。</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b/>
                <w:color w:val="FF0000 "/>
              </w:rPr>
              <w:t>3.</w:t>
            </w:r>
            <w:r>
              <w:rPr>
                <w:rFonts w:hint="eastAsia" w:ascii="新細明體" w:hAnsi="新細明體" w:eastAsia="新細明體" w:cs="新細明體"/>
                <w:b/>
                <w:u w:val="single"/>
                <w:color w:val="FF0000 "/>
              </w:rPr>
              <w:t>公司辦理本項業務，每一引介投資之私募股權基金之高資產客戶人數總數不得超過九十九人，且不得涉及新臺幣結匯事宜。</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pPr>
            <w:r>
              <w:rPr>
                <w:rFonts w:hint="eastAsia" w:ascii="新細明體" w:hAnsi="新細明體" w:eastAsia="新細明體" w:cs="新細明體"/>
                <w:b/>
                <w:color w:val="FF0000 "/>
              </w:rPr>
              <w:t>(新增)</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b/>
                <w:color w:val="FF0000 "/>
              </w:rPr>
              <w:t>4.</w:t>
            </w:r>
            <w:r>
              <w:rPr>
                <w:rFonts w:hint="eastAsia" w:ascii="新細明體" w:hAnsi="新細明體" w:eastAsia="新細明體" w:cs="新細明體"/>
                <w:b/>
                <w:u w:val="single"/>
                <w:color w:val="FF0000 "/>
              </w:rPr>
              <w:t>應與私募股權基金相關機構就特定私募股權基金相關受委任事項簽訂委任契約，並於契約載明國內不得委任其他機構辦理。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pPr>
            <w:r>
              <w:rPr>
                <w:rFonts w:hint="eastAsia" w:ascii="新細明體" w:hAnsi="新細明體" w:eastAsia="新細明體" w:cs="新細明體"/>
                <w:b/>
                <w:color w:val="FF0000 "/>
              </w:rPr>
              <w:t>(新增)</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b/>
                <w:color w:val="FF0000 "/>
              </w:rPr>
              <w:t>5.</w:t>
            </w:r>
            <w:r>
              <w:rPr>
                <w:rFonts w:hint="eastAsia" w:ascii="新細明體" w:hAnsi="新細明體" w:eastAsia="新細明體" w:cs="新細明體"/>
                <w:b/>
                <w:u w:val="single"/>
                <w:color w:val="FF0000 "/>
              </w:rPr>
              <w:t>與信託業簽訂委任契約透過金錢信託方式引介參與投資私募股權基金，並應遵行下列事項：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pPr>
            <w:r>
              <w:rPr>
                <w:rFonts w:hint="eastAsia" w:ascii="新細明體" w:hAnsi="新細明體" w:eastAsia="新細明體" w:cs="新細明體"/>
                <w:b/>
                <w:color w:val="FF0000 "/>
              </w:rPr>
              <w:t>(新增)</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b/>
                <w:color w:val="FF0000 "/>
              </w:rPr>
              <w:t>(1)</w:t>
            </w:r>
            <w:r>
              <w:rPr>
                <w:rFonts w:hint="eastAsia" w:ascii="新細明體" w:hAnsi="新細明體" w:eastAsia="新細明體" w:cs="新細明體"/>
                <w:b/>
                <w:u w:val="single"/>
                <w:color w:val="FF0000 "/>
              </w:rPr>
              <w:t>信託業應符合證券投資信託事業募集證券投資信託基金處理準則第二十條所定銷售機構之資格條件。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pPr>
            <w:r>
              <w:rPr>
                <w:rFonts w:hint="eastAsia" w:ascii="新細明體" w:hAnsi="新細明體" w:eastAsia="新細明體" w:cs="新細明體"/>
                <w:b/>
                <w:color w:val="FF0000 "/>
              </w:rPr>
              <w:t>(新增)</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b/>
                <w:color w:val="FF0000 "/>
              </w:rPr>
              <w:t>(2)</w:t>
            </w:r>
            <w:r>
              <w:rPr>
                <w:rFonts w:hint="eastAsia" w:ascii="新細明體" w:hAnsi="新細明體" w:eastAsia="新細明體" w:cs="新細明體"/>
                <w:b/>
                <w:u w:val="single"/>
                <w:color w:val="FF0000 "/>
              </w:rPr>
              <w:t>公司應與信託業訂定書面契約，載明雙方權利義務。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pPr>
            <w:r>
              <w:rPr>
                <w:rFonts w:hint="eastAsia" w:ascii="新細明體" w:hAnsi="新細明體" w:eastAsia="新細明體" w:cs="新細明體"/>
                <w:b/>
                <w:color w:val="FF0000 "/>
              </w:rPr>
              <w:t>(新增)</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b/>
                <w:color w:val="FF0000 "/>
              </w:rPr>
              <w:t>(3)</w:t>
            </w:r>
            <w:r>
              <w:rPr>
                <w:rFonts w:hint="eastAsia" w:ascii="新細明體" w:hAnsi="新細明體" w:eastAsia="新細明體" w:cs="新細明體"/>
                <w:b/>
                <w:u w:val="single"/>
                <w:color w:val="FF0000 "/>
              </w:rPr>
              <w:t>公司仍負有確認投資人資格條件之最終責任，並應於內部控制制度中訂定相關作業有關之風險監控管理措施。</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pPr>
            <w:r>
              <w:rPr>
                <w:rFonts w:hint="eastAsia" w:ascii="新細明體" w:hAnsi="新細明體" w:eastAsia="新細明體" w:cs="新細明體"/>
                <w:b/>
                <w:color w:val="FF0000 "/>
              </w:rPr>
              <w:t>(新增)</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b/>
                <w:color w:val="FF0000 "/>
              </w:rPr>
              <w:t>6.</w:t>
            </w:r>
            <w:r>
              <w:rPr>
                <w:rFonts w:hint="eastAsia" w:ascii="新細明體" w:hAnsi="新細明體" w:eastAsia="新細明體" w:cs="新細明體"/>
                <w:b/>
                <w:u w:val="single"/>
                <w:color w:val="FF0000 "/>
              </w:rPr>
              <w:t>公司除依前款規定外，不得將引介參與投資私募股權基金複委任其他機構辦理。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pPr>
            <w:r>
              <w:rPr>
                <w:rFonts w:hint="eastAsia" w:ascii="新細明體" w:hAnsi="新細明體" w:eastAsia="新細明體" w:cs="新細明體"/>
                <w:b/>
                <w:color w:val="FF0000 "/>
              </w:rPr>
              <w:t>(新增)</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4AABF765" w14:textId="77777777">
        <w:tc>
          <w:tcPr>
            <w:tcW w:w="1384" w:type="dxa"/>
            <w:vMerge/>
            <w:tcBorders>
              <w:left w:val="single" w:color="auto" w:sz="12" w:space="0"/>
              <w:bottom w:val="single" w:color="auto" w:sz="12" w:space="0"/>
            </w:tcBorders>
            <w:shd w:val="clear" w:color="auto" w:fill="auto"/>
          </w:tcPr>
          <w:p w:rsidR="003B3105" w:rsidP="001E533B" w:rsidRDefault="003B3105" w14:paraId="0967528F" w14:textId="77777777">
            <w:pPr>
              <w:rPr>
                <w:rFonts w:ascii="新細明體" w:hAnsi="新細明體" w:eastAsia="新細明體"/>
              </w:rPr>
            </w:pPr>
          </w:p>
        </w:tc>
        <w:tc>
          <w:tcPr>
            <w:tcW w:w="1276" w:type="dxa"/>
            <w:vMerge/>
            <w:tcBorders>
              <w:bottom w:val="single" w:color="auto" w:sz="12" w:space="0"/>
            </w:tcBorders>
            <w:shd w:val="clear" w:color="auto" w:fill="auto"/>
          </w:tcPr>
          <w:p w:rsidR="003B3105" w:rsidP="001E533B" w:rsidRDefault="003B3105" w14:paraId="5BD6DB17" w14:textId="77777777">
            <w:pPr>
              <w:rPr>
                <w:rFonts w:ascii="新細明體" w:hAnsi="新細明體" w:eastAsia="新細明體"/>
              </w:rPr>
            </w:pPr>
          </w:p>
        </w:tc>
        <w:tc>
          <w:tcPr>
            <w:tcW w:w="5386" w:type="dxa"/>
            <w:tcBorders>
              <w:top w:val="nil"/>
              <w:bottom w:val="single" w:color="auto" w:sz="12" w:space="0"/>
            </w:tcBorders>
            <w:shd w:val="clear" w:color="auto" w:fill="auto"/>
          </w:tcPr>
          <w:p w:rsidRPr="0068743F" w:rsidR="003B3105" w:rsidP="0027008E" w:rsidRDefault="0027008E" w14:paraId="5C9FE276" w14:textId="126A04A8">
            <w:pPr>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公司受託管理私募股權基金，宜參考盡職治理之原則協助被投資企業永續發展及推動相關措施，並將執行成效定期提報董事會。</w:t>
            </w:r>
          </w:p>
        </w:tc>
        <w:tc>
          <w:tcPr>
            <w:tcW w:w="5387" w:type="dxa"/>
            <w:tcBorders>
              <w:top w:val="nil"/>
              <w:bottom w:val="single" w:color="auto" w:sz="12" w:space="0"/>
            </w:tcBorders>
            <w:shd w:val="clear" w:color="auto" w:fill="auto"/>
          </w:tcPr>
          <w:p w:rsidRPr="00F6439B" w:rsidR="003B3105" w:rsidP="0027008E" w:rsidRDefault="0027008E" w14:paraId="7CBFB24A" w14:textId="08415A0E">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公司受託管理私募股權基金，宜參考盡職治理之原則協助被投資企業永續發展及推動相關措施，並將執行成效定期提報董事會。</w:t>
            </w:r>
          </w:p>
        </w:tc>
        <w:tc>
          <w:tcPr>
            <w:tcW w:w="2023" w:type="dxa"/>
            <w:vMerge/>
            <w:tcBorders>
              <w:bottom w:val="single" w:color="auto" w:sz="12" w:space="0"/>
              <w:right w:val="single" w:color="auto" w:sz="12" w:space="0"/>
            </w:tcBorders>
            <w:shd w:val="clear" w:color="auto" w:fill="auto"/>
          </w:tcPr>
          <w:p w:rsidR="003B3105" w:rsidP="003B3105" w:rsidRDefault="003B3105" w14:paraId="6127B086" w14:textId="77777777">
            <w:pPr>
              <w:spacing w:line="360" w:lineRule="exact"/>
              <w:ind w:left="28" w:right="28"/>
              <w:rPr>
                <w:rFonts w:ascii="新細明體" w:hAnsi="新細明體" w:eastAsia="新細明體" w:cs="Times New Roman"/>
                <w:color w:val="FF0000"/>
                <w:spacing w:val="20"/>
                <w:szCs w:val="20"/>
                <w:u w:val="single"/>
              </w:rPr>
            </w:pPr>
          </w:p>
        </w:tc>
      </w:tr>
    </w:tbl>
    <w:p w:rsidRPr="00F6439B" w:rsidR="001E533B" w:rsidP="00A24FFC" w:rsidRDefault="001E533B" w14:paraId="423EBB0D" w14:textId="77777777">
      <w:pPr>
        <w:rPr>
          <w:rFonts w:ascii="新細明體" w:hAnsi="新細明體" w:eastAsia="新細明體"/>
        </w:rPr>
      </w:pPr>
    </w:p>
    <w:sectPr w:rsidRPr="00F6439B" w:rsidR="001E533B" w:rsidSect="00A24FFC">
      <w:pgSz w:w="16840" w:h="11907" w:orient="landscape" w:code="9"/>
      <w:pgMar w:top="720" w:right="720" w:bottom="720" w:left="720" w:header="851" w:footer="851" w:gutter="0"/>
      <w:cols w:space="425"/>
      <w:docGrid w:type="lines" w:linePitch="360"/>
    </w:sectPr>
    <w:p>
      <w:r>
        <w:br w:type="page"/>
      </w:r>
    </w:p>
    <w:altChunk r:id="altChunkId_0"/>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4005" w14:textId="77777777" w:rsidR="003F2929" w:rsidRDefault="003F2929" w:rsidP="00E87601">
      <w:pPr>
        <w:spacing w:line="240" w:lineRule="auto"/>
      </w:pPr>
      <w:r>
        <w:separator/>
      </w:r>
    </w:p>
  </w:endnote>
  <w:endnote w:type="continuationSeparator" w:id="0">
    <w:p w14:paraId="17EE3F88" w14:textId="77777777" w:rsidR="003F2929" w:rsidRDefault="003F292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569C" w14:textId="77777777" w:rsidR="003F2929" w:rsidRDefault="003F2929" w:rsidP="00E87601">
      <w:pPr>
        <w:spacing w:line="240" w:lineRule="auto"/>
      </w:pPr>
      <w:r>
        <w:separator/>
      </w:r>
    </w:p>
  </w:footnote>
  <w:footnote w:type="continuationSeparator" w:id="0">
    <w:p w14:paraId="13DC15AB" w14:textId="77777777" w:rsidR="003F2929" w:rsidRDefault="003F292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 Type="http://schemas.openxmlformats.org/officeDocument/2006/relationships/aFChunk" Target="/word/afchunk2.docx" Id="altChunkId_0" /></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14</Words>
  <Characters>86</Characters>
  <Application>Microsoft Office Word</Application>
  <DocSecurity>0</DocSecurity>
  <Lines>1</Lines>
  <Paragraphs>1</Paragraphs>
  <ScaleCrop>false</ScaleCrop>
  <Company>Hewlett-Packard Company</Company>
  <LinksUpToDate>false</LinksUpToDate>
  <CharactersWithSpaces>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Lawrence, Cheng 程昱偉</cp:lastModifiedBy>
  <cp:revision>13</cp:revision>
  <cp:lastPrinted>2004-03-09T19:20:00Z</cp:lastPrinted>
  <dcterms:created xsi:type="dcterms:W3CDTF">2025-04-18T10:47:00Z</dcterms:created>
  <dcterms:modified xsi:type="dcterms:W3CDTF">2025-09-09T08:25:00Z</dcterms:modified>
</cp:coreProperties>
</file>